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BB" w:rsidRPr="00C34CBB" w:rsidRDefault="00C34CBB" w:rsidP="00C34CBB">
      <w:pPr>
        <w:pStyle w:val="Heading3"/>
        <w:jc w:val="center"/>
        <w:rPr>
          <w:rFonts w:ascii="Times New Roman" w:hAnsi="Times New Roman" w:hint="default"/>
          <w:color w:val="FF0000"/>
        </w:rPr>
      </w:pPr>
      <w:r w:rsidRPr="00C34CBB">
        <w:rPr>
          <w:rFonts w:ascii="Times New Roman" w:hAnsi="Times New Roman" w:hint="default"/>
          <w:color w:val="FF0000"/>
        </w:rPr>
        <w:t>PHÂN PHỐI CHƯƠNG TRÌN</w:t>
      </w:r>
      <w:bookmarkStart w:id="0" w:name="_GoBack"/>
      <w:bookmarkEnd w:id="0"/>
      <w:r w:rsidRPr="00C34CBB">
        <w:rPr>
          <w:rFonts w:ascii="Times New Roman" w:hAnsi="Times New Roman" w:hint="default"/>
          <w:color w:val="FF0000"/>
        </w:rPr>
        <w:t>H HÓA HỌC 10</w:t>
      </w:r>
    </w:p>
    <w:p w:rsidR="00C34CBB" w:rsidRPr="00C34CBB" w:rsidRDefault="00C34CBB" w:rsidP="00C34CBB">
      <w:pPr>
        <w:pStyle w:val="Heading3"/>
        <w:jc w:val="center"/>
        <w:rPr>
          <w:rFonts w:ascii="Times New Roman" w:hAnsi="Times New Roman" w:hint="default"/>
          <w:color w:val="0070C0"/>
        </w:rPr>
      </w:pPr>
      <w:r w:rsidRPr="00C34CBB">
        <w:rPr>
          <w:rFonts w:ascii="Times New Roman" w:hAnsi="Times New Roman" w:hint="default"/>
          <w:color w:val="0070C0"/>
        </w:rPr>
        <w:t>SÁCH CÁNH DI</w:t>
      </w:r>
      <w:r w:rsidRPr="00C34CBB">
        <w:rPr>
          <w:rFonts w:ascii="Times New Roman" w:eastAsia="PMingLiU" w:hAnsi="Times New Roman" w:hint="default"/>
          <w:color w:val="0070C0"/>
        </w:rPr>
        <w:t>Ề</w:t>
      </w:r>
      <w:r w:rsidRPr="00C34CBB">
        <w:rPr>
          <w:rFonts w:ascii="Times New Roman" w:hAnsi="Times New Roman" w:hint="default"/>
          <w:color w:val="0070C0"/>
        </w:rPr>
        <w:t>U N</w:t>
      </w:r>
      <w:r w:rsidRPr="00C34CBB">
        <w:rPr>
          <w:rFonts w:ascii="Times New Roman" w:eastAsia="MS Mincho" w:hAnsi="Times New Roman" w:hint="default"/>
          <w:color w:val="0070C0"/>
        </w:rPr>
        <w:t>Ă</w:t>
      </w:r>
      <w:r w:rsidRPr="00C34CBB">
        <w:rPr>
          <w:rFonts w:ascii="Times New Roman" w:hAnsi="Times New Roman" w:hint="default"/>
          <w:color w:val="0070C0"/>
        </w:rPr>
        <w:t>M 2022 - 2023</w:t>
      </w:r>
    </w:p>
    <w:p w:rsidR="00000000" w:rsidRDefault="002971B5">
      <w:pPr>
        <w:pStyle w:val="Heading3"/>
        <w:rPr>
          <w:rFonts w:ascii="Times New Roman" w:hAnsi="Times New Roman" w:hint="default"/>
          <w:color w:val="000000"/>
        </w:rPr>
      </w:pPr>
      <w:r>
        <w:rPr>
          <w:rFonts w:ascii="Times New Roman" w:hAnsi="Times New Roman" w:hint="default"/>
          <w:color w:val="000000"/>
        </w:rPr>
        <w:t>1. Phân ph</w:t>
      </w:r>
      <w:r>
        <w:rPr>
          <w:rFonts w:ascii="Times New Roman" w:hAnsi="Times New Roman" w:hint="default"/>
          <w:color w:val="000000"/>
        </w:rPr>
        <w:t>ố</w:t>
      </w:r>
      <w:r>
        <w:rPr>
          <w:rFonts w:ascii="Times New Roman" w:hAnsi="Times New Roman" w:hint="default"/>
          <w:color w:val="000000"/>
        </w:rPr>
        <w:t>i chương trình Hóa 10 h</w:t>
      </w:r>
      <w:r>
        <w:rPr>
          <w:rFonts w:ascii="Times New Roman" w:hAnsi="Times New Roman" w:hint="default"/>
          <w:color w:val="000000"/>
        </w:rPr>
        <w:t>ọ</w:t>
      </w:r>
      <w:r>
        <w:rPr>
          <w:rFonts w:ascii="Times New Roman" w:hAnsi="Times New Roman" w:hint="default"/>
          <w:color w:val="000000"/>
        </w:rPr>
        <w:t>c kì 1</w:t>
      </w:r>
    </w:p>
    <w:tbl>
      <w:tblPr>
        <w:tblStyle w:val="Normal"/>
        <w:tblW w:w="0" w:type="auto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4"/>
        <w:gridCol w:w="6141"/>
      </w:tblGrid>
      <w:tr w:rsidR="00000000">
        <w:trPr>
          <w:tblCellSpacing w:w="15" w:type="dxa"/>
        </w:trPr>
        <w:tc>
          <w:tcPr>
            <w:tcW w:w="4188" w:type="dxa"/>
          </w:tcPr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TRƯỜNG THPT ………..</w:t>
            </w:r>
          </w:p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8" w:type="dxa"/>
            <w:vAlign w:val="center"/>
          </w:tcPr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PHÂN PHỐI CHƯƠNG TRÌNH HỌC KỲ I, NẰM HỌC 2022-2023</w:t>
            </w:r>
          </w:p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Môn: Hóa học 10 - Bộ sách: Cánh Diều</w:t>
            </w:r>
          </w:p>
        </w:tc>
      </w:tr>
    </w:tbl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Học kỳ I : 18 tuần (5/9/2022 - 5/01/2023</w:t>
      </w:r>
      <w:r>
        <w:rPr>
          <w:color w:val="000000"/>
          <w:sz w:val="26"/>
          <w:szCs w:val="26"/>
        </w:rPr>
        <w:t>)</w:t>
      </w:r>
    </w:p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tiết chính khóa : 18 × 2 = 36 tiết</w:t>
      </w:r>
    </w:p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tiết chuyên đề : 18 × 1 = 18 tiết</w:t>
      </w:r>
    </w:p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Tổng : 54 tiết</w:t>
      </w:r>
    </w:p>
    <w:tbl>
      <w:tblPr>
        <w:tblStyle w:val="Normal"/>
        <w:tblW w:w="4900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5"/>
        <w:gridCol w:w="943"/>
        <w:gridCol w:w="5013"/>
        <w:gridCol w:w="2528"/>
      </w:tblGrid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Thời điểm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Tiết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Ghi chú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(5/9-10/9)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1-2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1: Nhập môn hóa học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Chủ đề 1: CẤU TẠO NGUYÊN TỬ (13 tiết)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788" w:type="dxa"/>
            <w:gridSpan w:val="2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2: Thành phần của nguyê</w:t>
            </w:r>
            <w:r>
              <w:rPr>
                <w:color w:val="000000"/>
                <w:sz w:val="26"/>
                <w:szCs w:val="26"/>
              </w:rPr>
              <w:t>n tử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(12/9-17/9)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5-6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10.1: Cơ sở hóa học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2: Phản ứng hạt nhân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(19/9-24/9)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10.1: Cơ sở hóa học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2: Phản ứng hạt nhân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8-9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3: Nguyên tố hóa học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4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(26/9-01/10)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KTTX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4: Mô hình nguyên tử và orbital nguyên tử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5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(03/10-8/10)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4: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5: Lớp, phân lớp và cấu hình electron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6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(10/10-15/10)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16-18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5: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7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(17/10-22/10)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5: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 tập kiểm t</w:t>
            </w:r>
            <w:r>
              <w:rPr>
                <w:color w:val="000000"/>
                <w:sz w:val="26"/>
                <w:szCs w:val="26"/>
              </w:rPr>
              <w:t>ra giữa học kỳ 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Kiểm tra giữa học kỳ 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Tuần 8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(24/10-29/10)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 xml:space="preserve">Chủ đề 2: BẢNG TUẦN HOÀN 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CÁC NGUYÊN TỐ HÓA HỌC (9 tiết)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22-24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6: Cấu tạo của bảng tuần hoàn các nguyên tố hóa học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KTTX</w:t>
            </w: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9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(31/10-5/11)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25-27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7: Xu hướng biến đổi một </w:t>
            </w:r>
            <w:r>
              <w:rPr>
                <w:color w:val="000000"/>
                <w:sz w:val="26"/>
                <w:szCs w:val="26"/>
              </w:rPr>
              <w:t>số tính chất của đơn chất, biến đổi thành phần và tính chất của hợp chất trong một chu kì và trong một nhóm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10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(7/11-12/11)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7: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8: Định luật tuần hoàn và ý nghĩa của bảng tuần hoàn các nguyên tố hóa học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11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(14/11-</w:t>
            </w:r>
            <w:r>
              <w:rPr>
                <w:color w:val="000000"/>
                <w:sz w:val="26"/>
                <w:szCs w:val="26"/>
              </w:rPr>
              <w:t>19/11)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Chủ đề 3: LIÊN KẾT HÓA HỌC (12 tiết)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31-32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9: Quy tắc octet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10: Liên kết ion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12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(21/11-26/11)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10: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11: Liên kết cộng hóa trị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13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(28/11-03/12)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37-38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11: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12: Liên kết</w:t>
            </w:r>
            <w:r>
              <w:rPr>
                <w:color w:val="000000"/>
                <w:sz w:val="26"/>
                <w:szCs w:val="26"/>
              </w:rPr>
              <w:t xml:space="preserve"> hydrogen và tương tác van der Waals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14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(5/12-8/12)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12: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10.1: Cơ sở hóa học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1: Liên kết hóa học và hình học phân tử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15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(10/12-15/12)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43-45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10.1: Cơ sở hóa học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1: Liên kết hóa học và hình học</w:t>
            </w:r>
            <w:r>
              <w:rPr>
                <w:color w:val="000000"/>
                <w:sz w:val="26"/>
                <w:szCs w:val="26"/>
              </w:rPr>
              <w:t xml:space="preserve"> phân tử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16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(17/12-22/12)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10.1: Cơ sở hóa học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1: Liên kết hóa học và hình học phân tử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 tập kiểm tra cuối học kỳ 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Kiểm tra cuối học kỳ 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17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(24/12-29/12)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Chủ đề 4: PHẢN ỨNG OXI HÓA-KHỬ (4 tiết)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</w:t>
            </w:r>
            <w:r>
              <w:rPr>
                <w:color w:val="000000"/>
                <w:sz w:val="26"/>
                <w:szCs w:val="26"/>
              </w:rPr>
              <w:t>13: Phản ứng oxi hóa-khử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50-51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13: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18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(31/12-5/01)</w:t>
            </w: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13: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Chủ đề 5: NĂNG LƯỢNG HÓA HỌC (8 tiết)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53-54</w:t>
            </w:r>
          </w:p>
        </w:tc>
        <w:tc>
          <w:tcPr>
            <w:tcW w:w="518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14: Phản ứng hóa học và enthalpy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 w:bidi="ar"/>
              </w:rPr>
              <w:t> </w:t>
            </w:r>
          </w:p>
        </w:tc>
      </w:tr>
    </w:tbl>
    <w:p w:rsidR="00000000" w:rsidRDefault="002971B5">
      <w:pPr>
        <w:pStyle w:val="Heading3"/>
        <w:rPr>
          <w:rFonts w:ascii="Times New Roman" w:hAnsi="Times New Roman" w:hint="default"/>
          <w:color w:val="000000"/>
        </w:rPr>
      </w:pPr>
      <w:r>
        <w:rPr>
          <w:rFonts w:ascii="Times New Roman" w:hAnsi="Times New Roman" w:hint="default"/>
          <w:color w:val="000000"/>
        </w:rPr>
        <w:t>2. Phân ph</w:t>
      </w:r>
      <w:r>
        <w:rPr>
          <w:rFonts w:ascii="Times New Roman" w:hAnsi="Times New Roman" w:hint="default"/>
          <w:color w:val="000000"/>
        </w:rPr>
        <w:t>ố</w:t>
      </w:r>
      <w:r>
        <w:rPr>
          <w:rFonts w:ascii="Times New Roman" w:hAnsi="Times New Roman" w:hint="default"/>
          <w:color w:val="000000"/>
        </w:rPr>
        <w:t>i chương trình Hóa 10 h</w:t>
      </w:r>
      <w:r>
        <w:rPr>
          <w:rFonts w:ascii="Times New Roman" w:hAnsi="Times New Roman" w:hint="default"/>
          <w:color w:val="000000"/>
        </w:rPr>
        <w:t>ọ</w:t>
      </w:r>
      <w:r>
        <w:rPr>
          <w:rFonts w:ascii="Times New Roman" w:hAnsi="Times New Roman" w:hint="default"/>
          <w:color w:val="000000"/>
        </w:rPr>
        <w:t>c kì 2</w:t>
      </w:r>
    </w:p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Học kỳ II : 17 tuần (16/01/2</w:t>
      </w:r>
      <w:r>
        <w:rPr>
          <w:color w:val="000000"/>
          <w:sz w:val="26"/>
          <w:szCs w:val="26"/>
        </w:rPr>
        <w:t>023 - 18/5/2023)</w:t>
      </w:r>
    </w:p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tiết chính khóa : 17 × 2 = 34 tiết</w:t>
      </w:r>
    </w:p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tiết chuyên đề : 17 × 1 = 17 tiết</w:t>
      </w:r>
    </w:p>
    <w:p w:rsidR="00000000" w:rsidRDefault="002971B5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Tổng : 51 tiết</w:t>
      </w:r>
    </w:p>
    <w:tbl>
      <w:tblPr>
        <w:tblStyle w:val="Normal"/>
        <w:tblW w:w="4900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4"/>
        <w:gridCol w:w="1059"/>
        <w:gridCol w:w="4898"/>
        <w:gridCol w:w="2528"/>
      </w:tblGrid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Thời điểm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Tiết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Ghi chú</w:t>
            </w: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19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(16/01-21/01)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55-56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14: Phản ứng hóa học và enthalpy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18/01: 27 Tết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15: Ý nghĩa và các</w:t>
            </w:r>
            <w:r>
              <w:rPr>
                <w:color w:val="000000"/>
                <w:sz w:val="26"/>
                <w:szCs w:val="26"/>
              </w:rPr>
              <w:t>h tính enthalpy của phản ứng hóa học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23/01-28/01 (Mồng 02 - mồng 7)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TẾT NGUYÊN ĐÁN QUÝ MÃO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20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(30/01-4/2)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58-60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15: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21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(6/2-11/2)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61-63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10.1: Cơ sở hóa học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3: Năng lượng hoạt hóa của phản ứng hóa học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22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13/2-18/2)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64-66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10.1: Cơ sở hóa học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4: Enthalpy và biến thiên năng lượng tự do Gibbs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KTTX</w:t>
            </w: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23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(20/2-25/2)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67-69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10.2: Hóa học trong việc phòng chống cháy nổ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5: Sơ lược về phản ứng cháy và nổ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24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(27/2-4/3)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70-72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</w:t>
            </w:r>
            <w:r>
              <w:rPr>
                <w:rStyle w:val="Emphasis"/>
                <w:color w:val="000000"/>
                <w:sz w:val="26"/>
                <w:szCs w:val="26"/>
              </w:rPr>
              <w:t>ên đề 10.2: Hóa học trong việc phòng chống cháy nổ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6: Hóa học về phản ứng cháy và nổ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25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(6/3-11/3)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73-75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10.2: Hóa học trong việc phòng chống cháy nổ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7: Phòng chống và xử lí cháy nổ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26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(13/3-18/3)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 tập kiểm tra giữa học</w:t>
            </w:r>
            <w:r>
              <w:rPr>
                <w:color w:val="000000"/>
                <w:sz w:val="26"/>
                <w:szCs w:val="26"/>
              </w:rPr>
              <w:t xml:space="preserve"> kỳ II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Kiểm tra giữa học kỳ II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 xml:space="preserve">Chủ đề 6: TỐC ĐỘ PHẢN ỨNG HÓA HỌC 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(6 tiết)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16: Tốc độ phản ứng hóa học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27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(20/3-25/3)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79-81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28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(27/3-01/4)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82-83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KTTX</w:t>
            </w: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Chủ đề 7: NGUYÊN TỐ NHÓM VIIA (10 tiế</w:t>
            </w:r>
            <w:r>
              <w:rPr>
                <w:rStyle w:val="Strong"/>
                <w:color w:val="000000"/>
                <w:sz w:val="26"/>
                <w:szCs w:val="26"/>
              </w:rPr>
              <w:t>t)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17: Nguyên tố và đơn chất halogen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29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(03/4-8/4)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85-87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17: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30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(10/4-15/4)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88-90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17: (tiếp)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KTTX</w:t>
            </w: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31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(17/4-22/4)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91-93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18: Hydrogen halide và hydrohalic acid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32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(24/4-29/4)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94-96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 xml:space="preserve">Chuyên đề 10.3: Thực </w:t>
            </w:r>
            <w:r>
              <w:rPr>
                <w:rStyle w:val="Emphasis"/>
                <w:color w:val="000000"/>
                <w:sz w:val="26"/>
                <w:szCs w:val="26"/>
              </w:rPr>
              <w:t>hành hóa học và công nghệ thông tin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8: Vẽ cấu trúc phân tử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33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(01/5-6/5)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97-99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10.3: Thực hành hóa học và công nghệ thông tin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9: Thực hành thí nghiệm hóa học ảo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01/5: Quốc tế Lao động</w:t>
            </w: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34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(8/5-13/5)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100-102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Chuyên đề 10.3: Thự</w:t>
            </w:r>
            <w:r>
              <w:rPr>
                <w:rStyle w:val="Emphasis"/>
                <w:color w:val="000000"/>
                <w:sz w:val="26"/>
                <w:szCs w:val="26"/>
              </w:rPr>
              <w:t>c hành hóa học và công nghệ thông tin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10: Tính tham số cấu trúc và năng lượng của phân tử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 w:val="restart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Tuần 35</w:t>
            </w:r>
          </w:p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(15/5-18/5)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Ôn tập kiểm tra cuối học kỳ II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Kiểm tra cuối học kỳ II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Merge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pStyle w:val="NormalWe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Tổng kết cuối năm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0000">
        <w:tc>
          <w:tcPr>
            <w:tcW w:w="1668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 w:bidi="ar"/>
              </w:rPr>
              <w:t>............</w:t>
            </w:r>
          </w:p>
        </w:tc>
        <w:tc>
          <w:tcPr>
            <w:tcW w:w="1080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506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2604" w:type="dxa"/>
            <w:vAlign w:val="center"/>
          </w:tcPr>
          <w:p w:rsidR="00000000" w:rsidRDefault="002971B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/>
                <w:sz w:val="26"/>
                <w:szCs w:val="26"/>
                <w:lang w:eastAsia="zh-CN" w:bidi="ar"/>
              </w:rPr>
              <w:t> </w:t>
            </w:r>
          </w:p>
        </w:tc>
      </w:tr>
    </w:tbl>
    <w:p w:rsidR="002971B5" w:rsidRDefault="002971B5">
      <w:pPr>
        <w:rPr>
          <w:rFonts w:ascii="Times New Roman" w:hAnsi="Times New Roman"/>
          <w:color w:val="000000"/>
          <w:sz w:val="26"/>
          <w:szCs w:val="26"/>
        </w:rPr>
      </w:pPr>
    </w:p>
    <w:sectPr w:rsidR="002971B5">
      <w:headerReference w:type="default" r:id="rId7"/>
      <w:footerReference w:type="default" r:id="rId8"/>
      <w:type w:val="continuous"/>
      <w:pgSz w:w="11907" w:h="16840"/>
      <w:pgMar w:top="851" w:right="851" w:bottom="851" w:left="851" w:header="709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B5" w:rsidRDefault="002971B5">
      <w:r>
        <w:separator/>
      </w:r>
    </w:p>
  </w:endnote>
  <w:endnote w:type="continuationSeparator" w:id="0">
    <w:p w:rsidR="002971B5" w:rsidRDefault="0029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charset w:val="80"/>
    <w:family w:val="auto"/>
    <w:pitch w:val="default"/>
    <w:sig w:usb0="00000000" w:usb1="00000000" w:usb2="00000010" w:usb3="00000000" w:csb0="000201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DB" w:rsidRPr="005F1BDB" w:rsidRDefault="005F1BDB" w:rsidP="005F1BDB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/>
        <w:color w:val="000000"/>
        <w:kern w:val="2"/>
        <w:lang w:eastAsia="zh-CN"/>
      </w:rPr>
    </w:pPr>
    <w:r w:rsidRPr="005F1BDB">
      <w:rPr>
        <w:rFonts w:ascii="Times New Roman" w:eastAsia="SimSun" w:hAnsi="Times New Roman"/>
        <w:b/>
        <w:color w:val="000000"/>
        <w:kern w:val="2"/>
        <w:lang w:val="nl-NL" w:eastAsia="zh-CN"/>
      </w:rPr>
      <w:t xml:space="preserve">                                                                     </w:t>
    </w:r>
    <w:r w:rsidRPr="005F1BDB">
      <w:rPr>
        <w:rFonts w:ascii="Times New Roman" w:eastAsia="SimSun" w:hAnsi="Times New Roman"/>
        <w:b/>
        <w:color w:val="00B0F0"/>
        <w:kern w:val="2"/>
        <w:lang w:val="nl-NL" w:eastAsia="zh-CN"/>
      </w:rPr>
      <w:t>thuvienhoclieu</w:t>
    </w:r>
    <w:r w:rsidRPr="005F1BDB">
      <w:rPr>
        <w:rFonts w:ascii="Times New Roman" w:eastAsia="SimSun" w:hAnsi="Times New Roman"/>
        <w:b/>
        <w:color w:val="FF0000"/>
        <w:kern w:val="2"/>
        <w:lang w:val="nl-NL" w:eastAsia="zh-CN"/>
      </w:rPr>
      <w:t xml:space="preserve">.com </w:t>
    </w:r>
    <w:r w:rsidRPr="005F1BDB">
      <w:rPr>
        <w:rFonts w:ascii="Times New Roman" w:eastAsia="SimSun" w:hAnsi="Times New Roman"/>
        <w:b/>
        <w:color w:val="000000"/>
        <w:kern w:val="2"/>
        <w:lang w:eastAsia="zh-CN"/>
      </w:rPr>
      <w:t xml:space="preserve">                                </w:t>
    </w:r>
    <w:r w:rsidRPr="005F1BDB">
      <w:rPr>
        <w:rFonts w:ascii="Times New Roman" w:eastAsia="SimSun" w:hAnsi="Times New Roman"/>
        <w:b/>
        <w:color w:val="FF0000"/>
        <w:kern w:val="2"/>
        <w:lang w:eastAsia="zh-CN"/>
      </w:rPr>
      <w:t>Trang</w:t>
    </w:r>
    <w:r w:rsidRPr="005F1BDB">
      <w:rPr>
        <w:rFonts w:ascii="Times New Roman" w:eastAsia="SimSun" w:hAnsi="Times New Roman"/>
        <w:b/>
        <w:color w:val="0070C0"/>
        <w:kern w:val="2"/>
        <w:lang w:eastAsia="zh-CN"/>
      </w:rPr>
      <w:t xml:space="preserve"> </w:t>
    </w:r>
    <w:r w:rsidRPr="005F1BDB">
      <w:rPr>
        <w:rFonts w:ascii="Times New Roman" w:eastAsia="SimSun" w:hAnsi="Times New Roman"/>
        <w:b/>
        <w:color w:val="0070C0"/>
        <w:kern w:val="2"/>
        <w:lang w:eastAsia="zh-CN"/>
      </w:rPr>
      <w:fldChar w:fldCharType="begin"/>
    </w:r>
    <w:r w:rsidRPr="005F1BDB">
      <w:rPr>
        <w:rFonts w:ascii="Times New Roman" w:eastAsia="SimSun" w:hAnsi="Times New Roman"/>
        <w:b/>
        <w:color w:val="0070C0"/>
        <w:kern w:val="2"/>
        <w:lang w:eastAsia="zh-CN"/>
      </w:rPr>
      <w:instrText xml:space="preserve"> PAGE   \* MERGEFORMAT </w:instrText>
    </w:r>
    <w:r w:rsidRPr="005F1BDB">
      <w:rPr>
        <w:rFonts w:ascii="Times New Roman" w:eastAsia="SimSun" w:hAnsi="Times New Roman"/>
        <w:b/>
        <w:color w:val="0070C0"/>
        <w:kern w:val="2"/>
        <w:lang w:eastAsia="zh-CN"/>
      </w:rPr>
      <w:fldChar w:fldCharType="separate"/>
    </w:r>
    <w:r>
      <w:rPr>
        <w:rFonts w:ascii="Times New Roman" w:eastAsia="SimSun" w:hAnsi="Times New Roman"/>
        <w:b/>
        <w:noProof/>
        <w:color w:val="0070C0"/>
        <w:kern w:val="2"/>
        <w:lang w:eastAsia="zh-CN"/>
      </w:rPr>
      <w:t>1</w:t>
    </w:r>
    <w:r w:rsidRPr="005F1BDB">
      <w:rPr>
        <w:rFonts w:ascii="Times New Roman" w:eastAsia="SimSun" w:hAnsi="Times New Roma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B5" w:rsidRDefault="002971B5">
      <w:r>
        <w:separator/>
      </w:r>
    </w:p>
  </w:footnote>
  <w:footnote w:type="continuationSeparator" w:id="0">
    <w:p w:rsidR="002971B5" w:rsidRDefault="0029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DB" w:rsidRPr="005F1BDB" w:rsidRDefault="005F1BDB" w:rsidP="005F1BDB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eastAsia="Times New Roman" w:hAnsi="Times New Roman"/>
        <w:sz w:val="22"/>
        <w:szCs w:val="22"/>
        <w:lang w:val="vi"/>
      </w:rPr>
    </w:pPr>
    <w:r w:rsidRPr="005F1BDB">
      <w:rPr>
        <w:rFonts w:ascii="Times New Roman" w:hAnsi="Times New Roman"/>
        <w:b/>
        <w:color w:val="00B0F0"/>
        <w:lang w:val="nl-NL"/>
      </w:rPr>
      <w:t>thuvienhoclieu</w:t>
    </w:r>
    <w:r w:rsidRPr="005F1BDB">
      <w:rPr>
        <w:rFonts w:ascii="Times New Roman" w:hAnsi="Times New Roman"/>
        <w:b/>
        <w:color w:val="FF0000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E"/>
    <w:rsid w:val="00046E69"/>
    <w:rsid w:val="000745B3"/>
    <w:rsid w:val="00087AF7"/>
    <w:rsid w:val="000A0B46"/>
    <w:rsid w:val="000B3AC8"/>
    <w:rsid w:val="000C2718"/>
    <w:rsid w:val="000D379C"/>
    <w:rsid w:val="000E04B1"/>
    <w:rsid w:val="000E6566"/>
    <w:rsid w:val="000E73C4"/>
    <w:rsid w:val="00106F2D"/>
    <w:rsid w:val="00130A25"/>
    <w:rsid w:val="0018547C"/>
    <w:rsid w:val="0019175F"/>
    <w:rsid w:val="001926F2"/>
    <w:rsid w:val="001C562B"/>
    <w:rsid w:val="00246B1D"/>
    <w:rsid w:val="00257072"/>
    <w:rsid w:val="00296FB0"/>
    <w:rsid w:val="002971B5"/>
    <w:rsid w:val="002A4952"/>
    <w:rsid w:val="002C6153"/>
    <w:rsid w:val="0032617F"/>
    <w:rsid w:val="00380061"/>
    <w:rsid w:val="00417419"/>
    <w:rsid w:val="00421ECE"/>
    <w:rsid w:val="00426670"/>
    <w:rsid w:val="00433185"/>
    <w:rsid w:val="00450313"/>
    <w:rsid w:val="00453967"/>
    <w:rsid w:val="004731FA"/>
    <w:rsid w:val="004A6A59"/>
    <w:rsid w:val="004B5151"/>
    <w:rsid w:val="004B5D06"/>
    <w:rsid w:val="004B6523"/>
    <w:rsid w:val="004B75F9"/>
    <w:rsid w:val="00521432"/>
    <w:rsid w:val="0057084B"/>
    <w:rsid w:val="00594C76"/>
    <w:rsid w:val="005E6EBB"/>
    <w:rsid w:val="005F1BDB"/>
    <w:rsid w:val="00610205"/>
    <w:rsid w:val="00615657"/>
    <w:rsid w:val="00667190"/>
    <w:rsid w:val="00671B17"/>
    <w:rsid w:val="006743E7"/>
    <w:rsid w:val="006903AE"/>
    <w:rsid w:val="00694C81"/>
    <w:rsid w:val="006C2D25"/>
    <w:rsid w:val="006D566F"/>
    <w:rsid w:val="006E4C9E"/>
    <w:rsid w:val="00733AE7"/>
    <w:rsid w:val="00747B26"/>
    <w:rsid w:val="0075740D"/>
    <w:rsid w:val="00786A45"/>
    <w:rsid w:val="00792604"/>
    <w:rsid w:val="007F3FA2"/>
    <w:rsid w:val="00847F54"/>
    <w:rsid w:val="008549E9"/>
    <w:rsid w:val="00870CF5"/>
    <w:rsid w:val="008B11C8"/>
    <w:rsid w:val="008C6314"/>
    <w:rsid w:val="008E46AC"/>
    <w:rsid w:val="008E71A7"/>
    <w:rsid w:val="00913452"/>
    <w:rsid w:val="009349A7"/>
    <w:rsid w:val="009521CA"/>
    <w:rsid w:val="009A37E7"/>
    <w:rsid w:val="009A7343"/>
    <w:rsid w:val="009F369F"/>
    <w:rsid w:val="00A23B68"/>
    <w:rsid w:val="00A42F9F"/>
    <w:rsid w:val="00A8091E"/>
    <w:rsid w:val="00AE782F"/>
    <w:rsid w:val="00B1070D"/>
    <w:rsid w:val="00BA2BCB"/>
    <w:rsid w:val="00BC6891"/>
    <w:rsid w:val="00BC78C2"/>
    <w:rsid w:val="00BD2D28"/>
    <w:rsid w:val="00C34CBB"/>
    <w:rsid w:val="00C51895"/>
    <w:rsid w:val="00C848C1"/>
    <w:rsid w:val="00CB34E5"/>
    <w:rsid w:val="00CC0F73"/>
    <w:rsid w:val="00CC2B41"/>
    <w:rsid w:val="00CE1738"/>
    <w:rsid w:val="00CE26D4"/>
    <w:rsid w:val="00D160AC"/>
    <w:rsid w:val="00D674BF"/>
    <w:rsid w:val="00DC1DA1"/>
    <w:rsid w:val="00DC34B3"/>
    <w:rsid w:val="00DD39D8"/>
    <w:rsid w:val="00DE2750"/>
    <w:rsid w:val="00DF72FC"/>
    <w:rsid w:val="00E26446"/>
    <w:rsid w:val="00E75670"/>
    <w:rsid w:val="00E9314D"/>
    <w:rsid w:val="00EB594C"/>
    <w:rsid w:val="00EE5E86"/>
    <w:rsid w:val="00EF70F6"/>
    <w:rsid w:val="00F60C03"/>
    <w:rsid w:val="00F65874"/>
    <w:rsid w:val="00F70A75"/>
    <w:rsid w:val="00F953A3"/>
    <w:rsid w:val="00FA1F0C"/>
    <w:rsid w:val="00FB68A1"/>
    <w:rsid w:val="00FD35C4"/>
    <w:rsid w:val="00FF4FBC"/>
    <w:rsid w:val="0BA95E84"/>
    <w:rsid w:val="5D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312" w:lineRule="auto"/>
      <w:outlineLvl w:val="0"/>
    </w:pPr>
    <w:rPr>
      <w:rFonts w:ascii="Calibri Light" w:eastAsia="等线 Light" w:hAnsi="Calibri Light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line="312" w:lineRule="auto"/>
      <w:outlineLvl w:val="1"/>
    </w:pPr>
    <w:rPr>
      <w:rFonts w:ascii="Calibri Light" w:eastAsia="等线 Light" w:hAnsi="Calibri Light"/>
      <w:color w:val="2E75B5"/>
      <w:sz w:val="26"/>
      <w:szCs w:val="26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eastAsia="等线 Light" w:hAnsi="Calibri Light" w:cs="Times New Roman"/>
      <w:color w:val="2E75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等线 Light" w:hAnsi="Calibri Light" w:cs="Times New Roman"/>
      <w:color w:val="2E75B5"/>
      <w:szCs w:val="26"/>
    </w:rPr>
  </w:style>
  <w:style w:type="paragraph" w:styleId="BalloonText">
    <w:name w:val="Balloon Text"/>
    <w:basedOn w:val="Normal"/>
    <w:link w:val="BalloonTextChar1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hAnsi="Calibri"/>
      <w:sz w:val="24"/>
      <w:szCs w:val="24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mbria" w:eastAsia="MS Mincho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hAnsi="Calibr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4"/>
      <w:szCs w:val="24"/>
    </w:rPr>
  </w:style>
  <w:style w:type="table" w:customStyle="1" w:styleId="TableGrid1">
    <w:name w:val="Table Grid1"/>
    <w:basedOn w:val="TableNormal"/>
    <w:uiPriority w:val="39"/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eastAsia="Times New Roman"/>
      <w:sz w:val="26"/>
      <w:szCs w:val="26"/>
      <w:lang w:val="vi-VN"/>
    </w:rPr>
  </w:style>
  <w:style w:type="character" w:customStyle="1" w:styleId="hps">
    <w:name w:val="hps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paragraph" w:customStyle="1" w:styleId="Revision1">
    <w:name w:val="Revision1"/>
    <w:uiPriority w:val="99"/>
    <w:semiHidden/>
    <w:qFormat/>
    <w:rPr>
      <w:rFonts w:eastAsia="Times New Roman"/>
      <w:sz w:val="26"/>
      <w:szCs w:val="26"/>
      <w:lang w:val="vi-VN"/>
    </w:rPr>
  </w:style>
  <w:style w:type="character" w:customStyle="1" w:styleId="mjx-char">
    <w:name w:val="mjx-char"/>
    <w:basedOn w:val="DefaultParagraphFont"/>
    <w:qFormat/>
  </w:style>
  <w:style w:type="character" w:customStyle="1" w:styleId="mn">
    <w:name w:val="mn"/>
    <w:basedOn w:val="DefaultParagraphFo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312" w:lineRule="auto"/>
      <w:outlineLvl w:val="0"/>
    </w:pPr>
    <w:rPr>
      <w:rFonts w:ascii="Calibri Light" w:eastAsia="等线 Light" w:hAnsi="Calibri Light"/>
      <w:color w:val="2E75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line="312" w:lineRule="auto"/>
      <w:outlineLvl w:val="1"/>
    </w:pPr>
    <w:rPr>
      <w:rFonts w:ascii="Calibri Light" w:eastAsia="等线 Light" w:hAnsi="Calibri Light"/>
      <w:color w:val="2E75B5"/>
      <w:sz w:val="26"/>
      <w:szCs w:val="26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eastAsia="等线 Light" w:hAnsi="Calibri Light" w:cs="Times New Roman"/>
      <w:color w:val="2E75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等线 Light" w:hAnsi="Calibri Light" w:cs="Times New Roman"/>
      <w:color w:val="2E75B5"/>
      <w:szCs w:val="26"/>
    </w:rPr>
  </w:style>
  <w:style w:type="paragraph" w:styleId="BalloonText">
    <w:name w:val="Balloon Text"/>
    <w:basedOn w:val="Normal"/>
    <w:link w:val="BalloonTextChar1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hAnsi="Calibri"/>
      <w:sz w:val="24"/>
      <w:szCs w:val="24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mbria" w:eastAsia="MS Mincho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hAnsi="Calibr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4"/>
      <w:szCs w:val="24"/>
    </w:rPr>
  </w:style>
  <w:style w:type="table" w:customStyle="1" w:styleId="TableGrid1">
    <w:name w:val="Table Grid1"/>
    <w:basedOn w:val="TableNormal"/>
    <w:uiPriority w:val="39"/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eastAsia="Times New Roman"/>
      <w:sz w:val="26"/>
      <w:szCs w:val="26"/>
      <w:lang w:val="vi-VN"/>
    </w:rPr>
  </w:style>
  <w:style w:type="character" w:customStyle="1" w:styleId="hps">
    <w:name w:val="hps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paragraph" w:customStyle="1" w:styleId="Revision1">
    <w:name w:val="Revision1"/>
    <w:uiPriority w:val="99"/>
    <w:semiHidden/>
    <w:qFormat/>
    <w:rPr>
      <w:rFonts w:eastAsia="Times New Roman"/>
      <w:sz w:val="26"/>
      <w:szCs w:val="26"/>
      <w:lang w:val="vi-VN"/>
    </w:rPr>
  </w:style>
  <w:style w:type="character" w:customStyle="1" w:styleId="mjx-char">
    <w:name w:val="mjx-char"/>
    <w:basedOn w:val="DefaultParagraphFont"/>
    <w:qFormat/>
  </w:style>
  <w:style w:type="character" w:customStyle="1" w:styleId="mn">
    <w:name w:val="mn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3899</Characters>
  <Application>Microsoft Office Word</Application>
  <DocSecurity>0</DocSecurity>
  <Lines>32</Lines>
  <Paragraphs>9</Paragraphs>
  <ScaleCrop>false</ScaleCrop>
  <Company>thuvienhoclieu.com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2022-08-26T04:38:00Z</dcterms:created>
  <dcterms:modified xsi:type="dcterms:W3CDTF">2022-08-26T04:38:00Z</dcterms:modified>
</cp:coreProperties>
</file>